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4" w:rsidRPr="00B144FF" w:rsidRDefault="00EA0B64" w:rsidP="00EA0B64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>ANEXO X</w:t>
      </w:r>
      <w:r>
        <w:rPr>
          <w:rFonts w:ascii="Times New Roman" w:hAnsi="Times New Roman"/>
          <w:b/>
          <w:sz w:val="20"/>
          <w:szCs w:val="20"/>
        </w:rPr>
        <w:t>V</w:t>
      </w:r>
      <w:r w:rsidRPr="003B099F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>DIRETRIZES DE UTILIZAÇÃO DO AUXÍLIO FINANCEIRO</w:t>
      </w:r>
      <w:r w:rsidRPr="003B099F">
        <w:rPr>
          <w:rFonts w:ascii="Times New Roman" w:hAnsi="Times New Roman"/>
          <w:b/>
          <w:sz w:val="20"/>
          <w:szCs w:val="20"/>
        </w:rPr>
        <w:t xml:space="preserve"> </w:t>
      </w:r>
    </w:p>
    <w:p w:rsidR="00EA0B64" w:rsidRDefault="00EA0B64" w:rsidP="00EA0B6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144FF">
        <w:rPr>
          <w:rFonts w:ascii="Times New Roman" w:hAnsi="Times New Roman"/>
          <w:b/>
          <w:sz w:val="20"/>
          <w:szCs w:val="20"/>
        </w:rPr>
        <w:t>PROEXTENSÃO EDITAL Nº 03/201</w:t>
      </w:r>
      <w:r>
        <w:rPr>
          <w:rFonts w:ascii="Times New Roman" w:hAnsi="Times New Roman"/>
          <w:b/>
          <w:sz w:val="20"/>
          <w:szCs w:val="20"/>
        </w:rPr>
        <w:t>7</w:t>
      </w:r>
      <w:r w:rsidRPr="00B144FF">
        <w:rPr>
          <w:rFonts w:ascii="Times New Roman" w:hAnsi="Times New Roman"/>
          <w:b/>
          <w:sz w:val="20"/>
          <w:szCs w:val="20"/>
        </w:rPr>
        <w:t xml:space="preserve"> PROEX</w:t>
      </w:r>
    </w:p>
    <w:p w:rsidR="00010262" w:rsidRPr="00EA2329" w:rsidRDefault="00010262" w:rsidP="00A84A38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4BD9" w:rsidRPr="00D504AC" w:rsidRDefault="00EA0B64" w:rsidP="00E64B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4BD9" w:rsidRPr="00E64BD9">
        <w:rPr>
          <w:rFonts w:ascii="Times New Roman" w:hAnsi="Times New Roman"/>
        </w:rPr>
        <w:t xml:space="preserve">Segundo o </w:t>
      </w:r>
      <w:r w:rsidR="00E64BD9" w:rsidRPr="00E64BD9">
        <w:rPr>
          <w:rFonts w:ascii="Times New Roman" w:hAnsi="Times New Roman"/>
          <w:b/>
        </w:rPr>
        <w:t>Edital Nº 03/201</w:t>
      </w:r>
      <w:r>
        <w:rPr>
          <w:rFonts w:ascii="Times New Roman" w:hAnsi="Times New Roman"/>
          <w:b/>
        </w:rPr>
        <w:t>7</w:t>
      </w:r>
      <w:r w:rsidR="00E64BD9" w:rsidRPr="00E64BD9">
        <w:rPr>
          <w:rFonts w:ascii="Times New Roman" w:hAnsi="Times New Roman"/>
          <w:b/>
        </w:rPr>
        <w:t xml:space="preserve"> - PROEXTENSÃO</w:t>
      </w:r>
      <w:r w:rsidR="00E64BD9" w:rsidRPr="00E64BD9">
        <w:rPr>
          <w:rFonts w:ascii="Times New Roman" w:hAnsi="Times New Roman"/>
        </w:rPr>
        <w:t>, cada Projeto aprovado contará com o auxílio</w:t>
      </w:r>
      <w:r w:rsidR="00E64BD9" w:rsidRPr="00412026">
        <w:rPr>
          <w:rFonts w:ascii="Times New Roman" w:hAnsi="Times New Roman"/>
        </w:rPr>
        <w:t xml:space="preserve"> </w:t>
      </w:r>
      <w:r w:rsidR="00E64BD9" w:rsidRPr="00B311CA">
        <w:rPr>
          <w:rFonts w:ascii="Times New Roman" w:hAnsi="Times New Roman"/>
        </w:rPr>
        <w:t>financeiro</w:t>
      </w:r>
      <w:r w:rsidR="00E64BD9" w:rsidRPr="00412026">
        <w:rPr>
          <w:rFonts w:ascii="Times New Roman" w:hAnsi="Times New Roman"/>
        </w:rPr>
        <w:t xml:space="preserve"> de </w:t>
      </w:r>
      <w:r w:rsidR="00E64BD9" w:rsidRPr="00FE70DB">
        <w:rPr>
          <w:rFonts w:ascii="Times New Roman" w:hAnsi="Times New Roman"/>
          <w:b/>
        </w:rPr>
        <w:t>até R$ 5.000,00 (cinco mil reais)</w:t>
      </w:r>
      <w:r w:rsidR="00E64BD9" w:rsidRPr="00412026">
        <w:rPr>
          <w:rFonts w:ascii="Times New Roman" w:hAnsi="Times New Roman"/>
        </w:rPr>
        <w:t xml:space="preserve"> como</w:t>
      </w:r>
      <w:r w:rsidR="00E64BD9">
        <w:rPr>
          <w:rFonts w:ascii="Times New Roman" w:hAnsi="Times New Roman"/>
        </w:rPr>
        <w:t xml:space="preserve"> verba de custeio, </w:t>
      </w:r>
      <w:r w:rsidR="00E64BD9" w:rsidRPr="00D504AC">
        <w:rPr>
          <w:rFonts w:ascii="Times New Roman" w:hAnsi="Times New Roman"/>
        </w:rPr>
        <w:t xml:space="preserve">a fim de que o coordenador do projeto possa cobrir </w:t>
      </w:r>
      <w:r w:rsidR="00743F81">
        <w:rPr>
          <w:rFonts w:ascii="Times New Roman" w:hAnsi="Times New Roman"/>
        </w:rPr>
        <w:t>d</w:t>
      </w:r>
      <w:r w:rsidR="00E64BD9" w:rsidRPr="00D504AC">
        <w:rPr>
          <w:rFonts w:ascii="Times New Roman" w:hAnsi="Times New Roman"/>
        </w:rPr>
        <w:t xml:space="preserve">espesas </w:t>
      </w:r>
      <w:r w:rsidR="00743F81">
        <w:rPr>
          <w:rFonts w:ascii="Times New Roman" w:hAnsi="Times New Roman"/>
        </w:rPr>
        <w:t>c</w:t>
      </w:r>
      <w:r w:rsidR="00E64BD9" w:rsidRPr="00D504AC">
        <w:rPr>
          <w:rFonts w:ascii="Times New Roman" w:hAnsi="Times New Roman"/>
        </w:rPr>
        <w:t xml:space="preserve">orrentes, para os seguintes elementos de despesa: </w:t>
      </w:r>
    </w:p>
    <w:p w:rsidR="00E64BD9" w:rsidRPr="00FE70DB" w:rsidRDefault="00E64BD9" w:rsidP="00E64BD9">
      <w:pPr>
        <w:pStyle w:val="PargrafodaLista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 xml:space="preserve">Serviços gráficos para divulgação do projeto, tais como confecção de banner, folder e faixa de divulgação e outros similares; </w:t>
      </w:r>
    </w:p>
    <w:p w:rsidR="00E64BD9" w:rsidRPr="00FE70DB" w:rsidRDefault="00E64BD9" w:rsidP="00E64BD9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 xml:space="preserve">Material de consumo, tais como de papelaria, escritório, cartuchos de tinta, entre outros materiais de curta duração. </w:t>
      </w:r>
    </w:p>
    <w:p w:rsidR="00E64BD9" w:rsidRPr="00FE70DB" w:rsidRDefault="00E64BD9" w:rsidP="00E64BD9">
      <w:pPr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/>
        </w:rPr>
      </w:pPr>
      <w:r w:rsidRPr="00FE70DB">
        <w:rPr>
          <w:rFonts w:ascii="Times New Roman" w:hAnsi="Times New Roman"/>
        </w:rPr>
        <w:t>Outros materiais de custeio.</w:t>
      </w:r>
    </w:p>
    <w:p w:rsidR="00E64BD9" w:rsidRPr="00FE70DB" w:rsidRDefault="00E64BD9" w:rsidP="00E64BD9">
      <w:pPr>
        <w:spacing w:before="120" w:after="0" w:line="240" w:lineRule="auto"/>
        <w:ind w:left="720"/>
        <w:jc w:val="both"/>
        <w:rPr>
          <w:rFonts w:ascii="Times New Roman" w:hAnsi="Times New Roman"/>
          <w:b/>
        </w:rPr>
      </w:pPr>
    </w:p>
    <w:p w:rsidR="00E64BD9" w:rsidRDefault="00E64BD9" w:rsidP="00256EB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>Não serão financiáveis os seguintes itens:</w:t>
      </w:r>
    </w:p>
    <w:p w:rsidR="00EA0B64" w:rsidRPr="00FE70DB" w:rsidRDefault="00EA0B64" w:rsidP="00256EB3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Material permanente e equipamentos;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Material Bibliográfico;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Ornamentação, coquetel, jantares, shows ou manifestações artísticas de qualquer natureza;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Serviços de Terceiros – pessoa física;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Pagamento de salários ou complementação salarial de pessoal técnico e administrativo ou quaisquer outras vantagens para pessoal de instituições públicas (federal, estadual e municipal);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Consultoria;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Taxas de administração ou gestão, a qualquer título;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Pagamento de contas de luz, água, telefone, móveis e obras civis, entendidas como despesas de contrapartida obrigatória da instituição responsável pela execução de projeto;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Pagamento de despesas postais;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Despesas com obras de construção civil, inclusive de reparação ou adaptação;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 xml:space="preserve">Compra ou manutenção de veículos; </w:t>
      </w:r>
    </w:p>
    <w:p w:rsidR="00E64BD9" w:rsidRPr="00FE70DB" w:rsidRDefault="00E64BD9" w:rsidP="00E64BD9">
      <w:pPr>
        <w:pStyle w:val="PargrafodaList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E70DB">
        <w:rPr>
          <w:rFonts w:ascii="Times New Roman" w:hAnsi="Times New Roman"/>
          <w:b/>
        </w:rPr>
        <w:t>Diárias e passagens.</w:t>
      </w:r>
    </w:p>
    <w:p w:rsidR="00E64BD9" w:rsidRPr="005F7261" w:rsidRDefault="00E64BD9" w:rsidP="00E64BD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4BD9" w:rsidRPr="005F7261" w:rsidRDefault="00E64BD9" w:rsidP="009935F3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E70DB" w:rsidRDefault="00EA0B64" w:rsidP="000E2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Seguem as listas de MATERIAIS DE CONSUMO que podem ser adquiridos</w:t>
      </w:r>
      <w:r w:rsidR="009B22CE">
        <w:rPr>
          <w:rFonts w:ascii="Times New Roman" w:hAnsi="Times New Roman"/>
        </w:rPr>
        <w:t>, por categoria</w:t>
      </w:r>
      <w:r w:rsidR="0039774A">
        <w:rPr>
          <w:rFonts w:ascii="Times New Roman" w:hAnsi="Times New Roman"/>
        </w:rPr>
        <w:t>, segundo a Portaria nº 448/2002</w:t>
      </w:r>
      <w:r w:rsidR="009B22CE">
        <w:rPr>
          <w:rFonts w:ascii="Times New Roman" w:hAnsi="Times New Roman"/>
        </w:rPr>
        <w:t>:</w:t>
      </w:r>
    </w:p>
    <w:p w:rsidR="009B22CE" w:rsidRDefault="009B22CE" w:rsidP="000E22F8">
      <w:pPr>
        <w:spacing w:after="0" w:line="240" w:lineRule="auto"/>
        <w:jc w:val="both"/>
        <w:rPr>
          <w:rFonts w:ascii="Times New Roman" w:hAnsi="Times New Roman"/>
        </w:rPr>
      </w:pPr>
    </w:p>
    <w:p w:rsidR="009B22CE" w:rsidRPr="00EA0B64" w:rsidRDefault="009B22CE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EDUCATIVO E ESPORTIVO</w:t>
      </w:r>
    </w:p>
    <w:p w:rsidR="009B22CE" w:rsidRDefault="009B22CE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22CE">
        <w:rPr>
          <w:rFonts w:ascii="Times New Roman" w:hAnsi="Times New Roman"/>
        </w:rPr>
        <w:t>pitos, bolas, brinquedos educativos, cordas, joelheiras, luvas, raquetes, redes para prática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de esportes, </w:t>
      </w:r>
      <w:proofErr w:type="spellStart"/>
      <w:r w:rsidRPr="009B22CE">
        <w:rPr>
          <w:rFonts w:ascii="Times New Roman" w:hAnsi="Times New Roman"/>
        </w:rPr>
        <w:t>tornozeleiras</w:t>
      </w:r>
      <w:proofErr w:type="spellEnd"/>
      <w:r w:rsidRPr="009B22CE">
        <w:rPr>
          <w:rFonts w:ascii="Times New Roman" w:hAnsi="Times New Roman"/>
        </w:rPr>
        <w:t xml:space="preserve"> e afins.</w:t>
      </w:r>
    </w:p>
    <w:p w:rsidR="009B22CE" w:rsidRDefault="009B22CE" w:rsidP="009B22CE">
      <w:pPr>
        <w:spacing w:after="0" w:line="240" w:lineRule="auto"/>
        <w:jc w:val="both"/>
        <w:rPr>
          <w:rFonts w:ascii="Times New Roman" w:hAnsi="Times New Roman"/>
        </w:rPr>
      </w:pPr>
    </w:p>
    <w:p w:rsidR="009B22CE" w:rsidRPr="00EA0B64" w:rsidRDefault="009B22CE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EXPEDIENTE</w:t>
      </w:r>
    </w:p>
    <w:p w:rsidR="009B22CE" w:rsidRDefault="009B22CE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22CE">
        <w:rPr>
          <w:rFonts w:ascii="Times New Roman" w:hAnsi="Times New Roman"/>
        </w:rPr>
        <w:t>genda, alfinete de aço, almofada para carimbos, apagador, apontador de lápis, bandeja para papéis, bloco para rascunho</w:t>
      </w:r>
      <w:r w:rsidR="00A11BA3">
        <w:rPr>
          <w:rFonts w:ascii="Times New Roman" w:hAnsi="Times New Roman"/>
        </w:rPr>
        <w:t>,</w:t>
      </w:r>
      <w:r w:rsidRPr="009B22CE">
        <w:rPr>
          <w:rFonts w:ascii="Times New Roman" w:hAnsi="Times New Roman"/>
        </w:rPr>
        <w:t xml:space="preserve"> bobina papel para calculadoras, borracha, caderno, caneta,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capa </w:t>
      </w:r>
      <w:r w:rsidR="00A11BA3">
        <w:rPr>
          <w:rFonts w:ascii="Times New Roman" w:hAnsi="Times New Roman"/>
        </w:rPr>
        <w:t>d</w:t>
      </w:r>
      <w:r w:rsidRPr="009B22CE">
        <w:rPr>
          <w:rFonts w:ascii="Times New Roman" w:hAnsi="Times New Roman"/>
        </w:rPr>
        <w:t>e processo, carimbos em geral, cartolina, classificador, clipe cola, colchete, corretivo, envelope,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>espátula, estêncil, estilete, extrator de grampos, fita adesiva, giz, goma elástica, grafite, grampeador, grampos, guia para arquivo, guia de endereçamento postal,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impressos e formulário em geral, </w:t>
      </w:r>
      <w:proofErr w:type="spellStart"/>
      <w:r w:rsidRPr="009B22CE">
        <w:rPr>
          <w:rFonts w:ascii="Times New Roman" w:hAnsi="Times New Roman"/>
        </w:rPr>
        <w:t>intercalador</w:t>
      </w:r>
      <w:proofErr w:type="spellEnd"/>
      <w:r w:rsidRPr="009B22CE">
        <w:rPr>
          <w:rFonts w:ascii="Times New Roman" w:hAnsi="Times New Roman"/>
        </w:rPr>
        <w:t xml:space="preserve"> para fichário, lacre, lápis, lapiseira, limpa tipos, livros de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 xml:space="preserve">ata, de ponto e de protocolo, papéis, pastas em geral, percevejo, perfurador, pinça, placas de </w:t>
      </w:r>
      <w:r w:rsidRPr="009B22CE">
        <w:rPr>
          <w:rFonts w:ascii="Times New Roman" w:hAnsi="Times New Roman"/>
        </w:rPr>
        <w:lastRenderedPageBreak/>
        <w:t>acrílico,</w:t>
      </w:r>
      <w:r>
        <w:rPr>
          <w:rFonts w:ascii="Times New Roman" w:hAnsi="Times New Roman"/>
        </w:rPr>
        <w:t xml:space="preserve"> </w:t>
      </w:r>
      <w:r w:rsidRPr="009B22CE">
        <w:rPr>
          <w:rFonts w:ascii="Times New Roman" w:hAnsi="Times New Roman"/>
        </w:rPr>
        <w:t>plásticos, porta-lápis, registrador, régua, selos para correspondência, tesoura, tintas, transparências e afins.</w:t>
      </w:r>
    </w:p>
    <w:p w:rsidR="007B1DE6" w:rsidRDefault="007B1DE6" w:rsidP="009B22CE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PROCESSAMENTO DE DADOS</w:t>
      </w:r>
    </w:p>
    <w:p w:rsidR="007B1DE6" w:rsidRDefault="007B1DE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B1DE6">
        <w:rPr>
          <w:rFonts w:ascii="Times New Roman" w:hAnsi="Times New Roman"/>
        </w:rPr>
        <w:t>artuchos de tinta, CD-ROM virgem, mouse PAD</w:t>
      </w:r>
      <w:r w:rsidR="00A97044">
        <w:rPr>
          <w:rFonts w:ascii="Times New Roman" w:hAnsi="Times New Roman"/>
        </w:rPr>
        <w:t>,</w:t>
      </w:r>
      <w:r w:rsidRPr="007B1DE6">
        <w:rPr>
          <w:rFonts w:ascii="Times New Roman" w:hAnsi="Times New Roman"/>
        </w:rPr>
        <w:t xml:space="preserve"> peças e acessórios para computadores e periféricos, recarga de cartuchos de tinta, </w:t>
      </w:r>
      <w:proofErr w:type="spellStart"/>
      <w:r w:rsidRPr="007B1DE6">
        <w:rPr>
          <w:rFonts w:ascii="Times New Roman" w:hAnsi="Times New Roman"/>
        </w:rPr>
        <w:t>toner</w:t>
      </w:r>
      <w:proofErr w:type="spellEnd"/>
      <w:r>
        <w:rPr>
          <w:rFonts w:ascii="Times New Roman" w:hAnsi="Times New Roman"/>
        </w:rPr>
        <w:t xml:space="preserve"> </w:t>
      </w:r>
      <w:r w:rsidRPr="007B1DE6">
        <w:rPr>
          <w:rFonts w:ascii="Times New Roman" w:hAnsi="Times New Roman"/>
        </w:rPr>
        <w:t>para impressora lazer, cartões magnéticos e afins.</w:t>
      </w:r>
    </w:p>
    <w:p w:rsidR="007B1DE6" w:rsidRPr="007B1DE6" w:rsidRDefault="007B1DE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ACONDICIONAMENTO E EMBALAGEM</w:t>
      </w:r>
    </w:p>
    <w:p w:rsidR="007B1DE6" w:rsidRDefault="007B1DE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B1DE6">
        <w:rPr>
          <w:rFonts w:ascii="Times New Roman" w:hAnsi="Times New Roman"/>
        </w:rPr>
        <w:t>rame, barbante, caixas plásticas, de madeira, papelão cordas, engradados, fitas de aço ou metálicas,</w:t>
      </w:r>
      <w:r>
        <w:rPr>
          <w:rFonts w:ascii="Times New Roman" w:hAnsi="Times New Roman"/>
        </w:rPr>
        <w:t xml:space="preserve"> </w:t>
      </w:r>
      <w:r w:rsidRPr="007B1DE6">
        <w:rPr>
          <w:rFonts w:ascii="Times New Roman" w:hAnsi="Times New Roman"/>
        </w:rPr>
        <w:t xml:space="preserve">fitas </w:t>
      </w:r>
      <w:proofErr w:type="spellStart"/>
      <w:r w:rsidRPr="007B1DE6">
        <w:rPr>
          <w:rFonts w:ascii="Times New Roman" w:hAnsi="Times New Roman"/>
        </w:rPr>
        <w:t>gomadoras</w:t>
      </w:r>
      <w:proofErr w:type="spellEnd"/>
      <w:r w:rsidRPr="007B1DE6">
        <w:rPr>
          <w:rFonts w:ascii="Times New Roman" w:hAnsi="Times New Roman"/>
        </w:rPr>
        <w:t>, garrafas e potes, linha, papel de embrulho, papelão, sacolas, sacos e afins.</w:t>
      </w:r>
    </w:p>
    <w:p w:rsidR="007B1DE6" w:rsidRPr="007B1DE6" w:rsidRDefault="007B1DE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CAMA, MESA E BANHO</w:t>
      </w:r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1DE6" w:rsidRPr="007B1DE6">
        <w:rPr>
          <w:rFonts w:ascii="Times New Roman" w:hAnsi="Times New Roman"/>
        </w:rPr>
        <w:t>obertores, colchas, colchonetes, fronhas, lençóis, toalhas, travesseiros, almofadas e afins.</w:t>
      </w:r>
    </w:p>
    <w:p w:rsidR="002E6C66" w:rsidRPr="007B1DE6" w:rsidRDefault="002E6C6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COPA E COZINHA</w:t>
      </w:r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B1DE6" w:rsidRPr="007B1DE6">
        <w:rPr>
          <w:rFonts w:ascii="Times New Roman" w:hAnsi="Times New Roman"/>
        </w:rPr>
        <w:t>bridor de garrafa, açucareiros, artigos de vidro e plástico, bandejas, coadores, colheres, copos, facas,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>farinheiras</w:t>
      </w:r>
      <w:r w:rsidR="000C38BD">
        <w:rPr>
          <w:rFonts w:ascii="Times New Roman" w:hAnsi="Times New Roman"/>
        </w:rPr>
        <w:t>,</w:t>
      </w:r>
      <w:r w:rsidR="007B1DE6" w:rsidRPr="007B1DE6">
        <w:rPr>
          <w:rFonts w:ascii="Times New Roman" w:hAnsi="Times New Roman"/>
        </w:rPr>
        <w:t xml:space="preserve"> frigideiras, garfos, garrafas térmicas, paliteiros, panelas, panos de cozinha, papel alumínio,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>pratos, recipientes para água, suportes de copos para cafezinho, tigelas, xícaras e afins.</w:t>
      </w:r>
    </w:p>
    <w:p w:rsidR="002E6C66" w:rsidRPr="007B1DE6" w:rsidRDefault="002E6C66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7B1DE6" w:rsidRPr="00EA0B64" w:rsidRDefault="007B1DE6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DE LIMPEZA E PRODUÇÃO DE HIGIENIZAÇÃO</w:t>
      </w:r>
    </w:p>
    <w:p w:rsidR="007B1DE6" w:rsidRDefault="002E6C66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B1DE6" w:rsidRPr="007B1DE6">
        <w:rPr>
          <w:rFonts w:ascii="Times New Roman" w:hAnsi="Times New Roman"/>
        </w:rPr>
        <w:t>apacho, cesto para lixo, creme dental, desinfetante, escova de dente, mangueira, papel higiênico,</w:t>
      </w:r>
      <w:r>
        <w:rPr>
          <w:rFonts w:ascii="Times New Roman" w:hAnsi="Times New Roman"/>
        </w:rPr>
        <w:t xml:space="preserve"> </w:t>
      </w:r>
      <w:r w:rsidR="007B1DE6" w:rsidRPr="007B1DE6">
        <w:rPr>
          <w:rFonts w:ascii="Times New Roman" w:hAnsi="Times New Roman"/>
        </w:rPr>
        <w:t>sabonete, álcool gel 70%, repelente , protetor solar e afins.</w:t>
      </w:r>
    </w:p>
    <w:p w:rsidR="0054670B" w:rsidRDefault="0054670B" w:rsidP="007B1DE6">
      <w:pPr>
        <w:spacing w:after="0" w:line="240" w:lineRule="auto"/>
        <w:jc w:val="both"/>
        <w:rPr>
          <w:rFonts w:ascii="Times New Roman" w:hAnsi="Times New Roman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PARA MANUTENÇÃO DE BENS IMÓVEIS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4670B">
        <w:rPr>
          <w:rFonts w:ascii="Times New Roman" w:hAnsi="Times New Roman"/>
        </w:rPr>
        <w:t>mianto, aparelhos sanitários, arames liso e farpado, areia, basculante, boca de lobo, bóia, brita,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brocha, cabo metálico, cal, cano, cerâmica, cimento, cola, condutores de fios, conexões, curvas,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esquadrias, fechaduras, ferro, gaxetas, grades, impermeabilizantes, isolantes acústicos e térmicos,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 xml:space="preserve">janelas, joelhos, ladrilhos, lavatórios, lixas, madeira, marcos de concreto, massa corrida, </w:t>
      </w:r>
      <w:proofErr w:type="spellStart"/>
      <w:r w:rsidRPr="0054670B">
        <w:rPr>
          <w:rFonts w:ascii="Times New Roman" w:hAnsi="Times New Roman"/>
        </w:rPr>
        <w:t>niple</w:t>
      </w:r>
      <w:proofErr w:type="spellEnd"/>
      <w:r w:rsidRPr="0054670B">
        <w:rPr>
          <w:rFonts w:ascii="Times New Roman" w:hAnsi="Times New Roman"/>
        </w:rPr>
        <w:t>, papel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de parede, parafusos, pias, pigmentos, portas e portais, pregos, rolos solventes, sifão, tacos, tampa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vaso, tampão de ferro, tanque, tela de estuque, telha, tijolo, tinta, torneira, trincha, tubo de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concreto, válvulas, verniz, vidro e afins.</w:t>
      </w:r>
    </w:p>
    <w:p w:rsidR="00EA0B64" w:rsidRDefault="00EA0B64" w:rsidP="0054670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PARA MANUTENÇÃO DE BENS MÓVEIS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4670B">
        <w:rPr>
          <w:rFonts w:ascii="Times New Roman" w:hAnsi="Times New Roman"/>
        </w:rPr>
        <w:t>abos, chaves, cilindros para máquinas copiadoras, compressor para ar condicionado, mangueira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fogão margaridas, peças de reposição de aparelhos e máquinas em geral, materiais de reposição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para instrumentos musicais e afins.</w:t>
      </w:r>
    </w:p>
    <w:p w:rsidR="0054670B" w:rsidRPr="0054670B" w:rsidRDefault="0054670B" w:rsidP="0054670B">
      <w:pPr>
        <w:spacing w:after="0" w:line="240" w:lineRule="auto"/>
        <w:jc w:val="both"/>
        <w:rPr>
          <w:rFonts w:ascii="Times New Roman" w:hAnsi="Times New Roman"/>
        </w:rPr>
      </w:pPr>
    </w:p>
    <w:p w:rsidR="0054670B" w:rsidRPr="00EA0B64" w:rsidRDefault="0054670B" w:rsidP="00EA0B64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0B64">
        <w:rPr>
          <w:rFonts w:ascii="Times New Roman" w:hAnsi="Times New Roman"/>
          <w:b/>
          <w:u w:val="single"/>
        </w:rPr>
        <w:t>MATERIAL ELÉTRICO E ELETRÔNICO</w:t>
      </w:r>
    </w:p>
    <w:p w:rsidR="0054670B" w:rsidRDefault="0054670B" w:rsidP="00EA0B64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54670B">
        <w:rPr>
          <w:rFonts w:ascii="Times New Roman" w:hAnsi="Times New Roman"/>
        </w:rPr>
        <w:t>enjamins, bocais, calhas, capacitores e resistores, chaves de ligação, circuitos eletrônicos,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condutores, componentes de aparelho eletrônico, diodos, disjuntores, eletrodos, eliminador de pilhas,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espelhos para interruptores, fios e cabos, fita isolante, fusíveis, interruptores, lâmpadas e luminárias,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 xml:space="preserve">pilhas e baterias, pinos e </w:t>
      </w:r>
      <w:proofErr w:type="spellStart"/>
      <w:r w:rsidRPr="0054670B">
        <w:rPr>
          <w:rFonts w:ascii="Times New Roman" w:hAnsi="Times New Roman"/>
        </w:rPr>
        <w:t>plugs</w:t>
      </w:r>
      <w:proofErr w:type="spellEnd"/>
      <w:r w:rsidRPr="0054670B">
        <w:rPr>
          <w:rFonts w:ascii="Times New Roman" w:hAnsi="Times New Roman"/>
        </w:rPr>
        <w:t xml:space="preserve">, placas de </w:t>
      </w:r>
      <w:proofErr w:type="spellStart"/>
      <w:r w:rsidRPr="0054670B">
        <w:rPr>
          <w:rFonts w:ascii="Times New Roman" w:hAnsi="Times New Roman"/>
        </w:rPr>
        <w:t>baquelite</w:t>
      </w:r>
      <w:proofErr w:type="spellEnd"/>
      <w:r w:rsidRPr="0054670B">
        <w:rPr>
          <w:rFonts w:ascii="Times New Roman" w:hAnsi="Times New Roman"/>
        </w:rPr>
        <w:t>, reatores, receptáculos, resistências, starts,</w:t>
      </w:r>
      <w:r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suportes, tomada de corrente,</w:t>
      </w:r>
      <w:r w:rsidR="000C38BD"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controle p/portão eletrônico</w:t>
      </w:r>
      <w:r w:rsidR="000C38BD">
        <w:rPr>
          <w:rFonts w:ascii="Times New Roman" w:hAnsi="Times New Roman"/>
        </w:rPr>
        <w:t>,</w:t>
      </w:r>
      <w:r w:rsidRPr="0054670B">
        <w:rPr>
          <w:rFonts w:ascii="Times New Roman" w:hAnsi="Times New Roman"/>
        </w:rPr>
        <w:t xml:space="preserve"> </w:t>
      </w:r>
      <w:r w:rsidR="000C38BD">
        <w:rPr>
          <w:rFonts w:ascii="Times New Roman" w:hAnsi="Times New Roman"/>
        </w:rPr>
        <w:t>co</w:t>
      </w:r>
      <w:r w:rsidRPr="0054670B">
        <w:rPr>
          <w:rFonts w:ascii="Times New Roman" w:hAnsi="Times New Roman"/>
        </w:rPr>
        <w:t>ntrole p/ TV e DVD</w:t>
      </w:r>
      <w:r w:rsidR="000C38BD">
        <w:rPr>
          <w:rFonts w:ascii="Times New Roman" w:hAnsi="Times New Roman"/>
        </w:rPr>
        <w:t xml:space="preserve"> </w:t>
      </w:r>
      <w:r w:rsidRPr="0054670B">
        <w:rPr>
          <w:rFonts w:ascii="Times New Roman" w:hAnsi="Times New Roman"/>
        </w:rPr>
        <w:t>e afins.</w:t>
      </w:r>
    </w:p>
    <w:p w:rsidR="00596891" w:rsidRDefault="00596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4670B" w:rsidRDefault="0054670B" w:rsidP="0054670B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DE PROTEÇÃO E SEGURANÇA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560C2">
        <w:rPr>
          <w:rFonts w:ascii="Times New Roman" w:hAnsi="Times New Roman"/>
        </w:rPr>
        <w:t>adeados, capacetes, chaves, cintos, coletes, dedais, guarda-chuvas, lona, luvas, mangueira de lona,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máscaras, recargas de extintores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PARA ÁUDIO, VÍDEO E FOTO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</w:t>
      </w:r>
      <w:r w:rsidRPr="000560C2">
        <w:rPr>
          <w:rFonts w:ascii="Times New Roman" w:hAnsi="Times New Roman"/>
        </w:rPr>
        <w:t>lbuns para retratos, alto-falantes, antenas internas, filmes virgens, fitas virgens de áudio e vídeo,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 xml:space="preserve">lâmpadas especiais, molduras, </w:t>
      </w:r>
      <w:proofErr w:type="spellStart"/>
      <w:r w:rsidRPr="000560C2">
        <w:rPr>
          <w:rFonts w:ascii="Times New Roman" w:hAnsi="Times New Roman"/>
        </w:rPr>
        <w:t>pen</w:t>
      </w:r>
      <w:proofErr w:type="spellEnd"/>
      <w:r w:rsidRPr="000560C2">
        <w:rPr>
          <w:rFonts w:ascii="Times New Roman" w:hAnsi="Times New Roman"/>
        </w:rPr>
        <w:t xml:space="preserve"> drive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SEMENTES, MUDAS DE PLANTAS E INSUMOS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560C2">
        <w:rPr>
          <w:rFonts w:ascii="Times New Roman" w:hAnsi="Times New Roman"/>
        </w:rPr>
        <w:t xml:space="preserve">dubos, argila, plantas ornamentais, bulbos, enxertos, fertilizantes, mudas </w:t>
      </w:r>
      <w:proofErr w:type="spellStart"/>
      <w:r w:rsidRPr="000560C2">
        <w:rPr>
          <w:rFonts w:ascii="Times New Roman" w:hAnsi="Times New Roman"/>
        </w:rPr>
        <w:t>envasadas</w:t>
      </w:r>
      <w:proofErr w:type="spellEnd"/>
      <w:r w:rsidRPr="000560C2">
        <w:rPr>
          <w:rFonts w:ascii="Times New Roman" w:hAnsi="Times New Roman"/>
        </w:rPr>
        <w:t xml:space="preserve"> ou com raízes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nuas, sementes, terra, tubérculos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LABORATORIAL</w:t>
      </w:r>
    </w:p>
    <w:p w:rsidR="000560C2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560C2">
        <w:rPr>
          <w:rFonts w:ascii="Times New Roman" w:hAnsi="Times New Roman"/>
        </w:rPr>
        <w:t>astões, bico de gás, cálices, corantes, filtros de papel, fixadoras, frascos, funis, garra metálica,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lâminas de vidro para microscópio, lâmpadas especiais, luvas de borracha, pinças, rolhas, vidraria,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 xml:space="preserve">tais como: balão volumétrico, Becker, conta-gotas, </w:t>
      </w:r>
      <w:proofErr w:type="spellStart"/>
      <w:r w:rsidRPr="000560C2">
        <w:rPr>
          <w:rFonts w:ascii="Times New Roman" w:hAnsi="Times New Roman"/>
        </w:rPr>
        <w:t>Erlemeyer</w:t>
      </w:r>
      <w:proofErr w:type="spellEnd"/>
      <w:r w:rsidRPr="000560C2">
        <w:rPr>
          <w:rFonts w:ascii="Times New Roman" w:hAnsi="Times New Roman"/>
        </w:rPr>
        <w:t>, pipeta, proveta, termômetro, tubo de</w:t>
      </w:r>
      <w:r>
        <w:rPr>
          <w:rFonts w:ascii="Times New Roman" w:hAnsi="Times New Roman"/>
        </w:rPr>
        <w:t xml:space="preserve"> </w:t>
      </w:r>
      <w:r w:rsidRPr="000560C2">
        <w:rPr>
          <w:rFonts w:ascii="Times New Roman" w:hAnsi="Times New Roman"/>
        </w:rPr>
        <w:t>ensaio e afins.</w:t>
      </w:r>
    </w:p>
    <w:p w:rsidR="000560C2" w:rsidRPr="000560C2" w:rsidRDefault="000560C2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0560C2" w:rsidRPr="00596891" w:rsidRDefault="000560C2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MATERIAL HOSPITALAR</w:t>
      </w:r>
    </w:p>
    <w:p w:rsidR="0054670B" w:rsidRDefault="000560C2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560C2">
        <w:rPr>
          <w:rFonts w:ascii="Times New Roman" w:hAnsi="Times New Roman"/>
        </w:rPr>
        <w:t>lgodão, compressa de gaze, esparadrapo, luvas, termômetro clínico, ataduras e afins.</w:t>
      </w:r>
    </w:p>
    <w:p w:rsidR="00AC464A" w:rsidRDefault="00AC464A" w:rsidP="000560C2">
      <w:pPr>
        <w:spacing w:after="0" w:line="240" w:lineRule="auto"/>
        <w:jc w:val="both"/>
        <w:rPr>
          <w:rFonts w:ascii="Times New Roman" w:hAnsi="Times New Roman"/>
        </w:rPr>
      </w:pPr>
    </w:p>
    <w:p w:rsidR="00AC464A" w:rsidRPr="00596891" w:rsidRDefault="00AC464A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FERRAMENTAS</w:t>
      </w:r>
    </w:p>
    <w:p w:rsidR="00AC464A" w:rsidRPr="00AC464A" w:rsidRDefault="00AC464A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C464A">
        <w:rPr>
          <w:rFonts w:ascii="Times New Roman" w:hAnsi="Times New Roman"/>
        </w:rPr>
        <w:t>licate, broca, caixa para ferramentas, chaves em geral, enxada, espátulas, martelo, pá, picareta, serrote, tesoura de podar, trena e afins.</w:t>
      </w:r>
    </w:p>
    <w:p w:rsidR="00AC464A" w:rsidRDefault="00AC464A" w:rsidP="00AC464A">
      <w:pPr>
        <w:spacing w:after="0" w:line="240" w:lineRule="auto"/>
        <w:jc w:val="both"/>
        <w:rPr>
          <w:rFonts w:ascii="Times New Roman" w:hAnsi="Times New Roman"/>
        </w:rPr>
      </w:pPr>
    </w:p>
    <w:p w:rsidR="00AC464A" w:rsidRPr="00596891" w:rsidRDefault="00AC464A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SERVIÇOS DE ÁUDIO, VÍDEO E FOTO</w:t>
      </w:r>
    </w:p>
    <w:p w:rsidR="00AC464A" w:rsidRDefault="00AC464A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C464A">
        <w:rPr>
          <w:rFonts w:ascii="Times New Roman" w:hAnsi="Times New Roman"/>
        </w:rPr>
        <w:t xml:space="preserve">onfecção de álbuns, </w:t>
      </w:r>
      <w:proofErr w:type="spellStart"/>
      <w:r w:rsidRPr="00AC464A">
        <w:rPr>
          <w:rFonts w:ascii="Times New Roman" w:hAnsi="Times New Roman"/>
        </w:rPr>
        <w:t>emolduramento</w:t>
      </w:r>
      <w:proofErr w:type="spellEnd"/>
      <w:r w:rsidRPr="00AC464A">
        <w:rPr>
          <w:rFonts w:ascii="Times New Roman" w:hAnsi="Times New Roman"/>
        </w:rPr>
        <w:t xml:space="preserve"> de fotografias, revelação de filmes e afins.</w:t>
      </w:r>
    </w:p>
    <w:p w:rsidR="00A11BA3" w:rsidRDefault="00A11BA3" w:rsidP="00AC464A">
      <w:pPr>
        <w:spacing w:after="0" w:line="240" w:lineRule="auto"/>
        <w:jc w:val="both"/>
        <w:rPr>
          <w:rFonts w:ascii="Times New Roman" w:hAnsi="Times New Roman"/>
        </w:rPr>
      </w:pPr>
    </w:p>
    <w:p w:rsidR="00A11BA3" w:rsidRPr="00596891" w:rsidRDefault="00A11BA3" w:rsidP="00596891">
      <w:pPr>
        <w:pStyle w:val="PargrafodaList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96891">
        <w:rPr>
          <w:rFonts w:ascii="Times New Roman" w:hAnsi="Times New Roman"/>
          <w:b/>
          <w:u w:val="single"/>
        </w:rPr>
        <w:t>SERVIÇOS GRÁFICOS</w:t>
      </w:r>
    </w:p>
    <w:p w:rsidR="00A11BA3" w:rsidRDefault="00A11BA3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11BA3">
        <w:rPr>
          <w:rFonts w:ascii="Times New Roman" w:hAnsi="Times New Roman"/>
        </w:rPr>
        <w:t>onfecção de impressos em geral, encadernação de livros jornais e revistas, impressão de jornais,</w:t>
      </w:r>
      <w:r>
        <w:rPr>
          <w:rFonts w:ascii="Times New Roman" w:hAnsi="Times New Roman"/>
        </w:rPr>
        <w:t xml:space="preserve"> </w:t>
      </w:r>
      <w:r w:rsidRPr="00A11BA3">
        <w:rPr>
          <w:rFonts w:ascii="Times New Roman" w:hAnsi="Times New Roman"/>
        </w:rPr>
        <w:t>boletins, encartes, folder e assemelhados e afins.</w:t>
      </w:r>
    </w:p>
    <w:p w:rsidR="002E35F1" w:rsidRDefault="002E35F1" w:rsidP="0059689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2E35F1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</w:p>
    <w:p w:rsidR="00B60307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E35F1">
        <w:rPr>
          <w:rFonts w:ascii="Times New Roman" w:hAnsi="Times New Roman"/>
        </w:rPr>
        <w:t>Esclarecimentos adicionais acerca do</w:t>
      </w:r>
      <w:r>
        <w:rPr>
          <w:rFonts w:ascii="Times New Roman" w:hAnsi="Times New Roman"/>
        </w:rPr>
        <w:t xml:space="preserve">s itens que compõem as listas supracitadas, </w:t>
      </w:r>
      <w:r w:rsidRPr="002E35F1">
        <w:rPr>
          <w:rFonts w:ascii="Times New Roman" w:hAnsi="Times New Roman"/>
        </w:rPr>
        <w:t xml:space="preserve">podem ser obtidos </w:t>
      </w:r>
      <w:r>
        <w:rPr>
          <w:rFonts w:ascii="Times New Roman" w:hAnsi="Times New Roman"/>
        </w:rPr>
        <w:t xml:space="preserve">por meio do </w:t>
      </w:r>
      <w:r w:rsidRPr="002E35F1">
        <w:rPr>
          <w:rFonts w:ascii="Times New Roman" w:hAnsi="Times New Roman"/>
        </w:rPr>
        <w:t>encaminha</w:t>
      </w:r>
      <w:r>
        <w:rPr>
          <w:rFonts w:ascii="Times New Roman" w:hAnsi="Times New Roman"/>
        </w:rPr>
        <w:t>mento de</w:t>
      </w:r>
      <w:r w:rsidRPr="002E35F1">
        <w:rPr>
          <w:rFonts w:ascii="Times New Roman" w:hAnsi="Times New Roman"/>
        </w:rPr>
        <w:t xml:space="preserve"> mensagem para o endereço: </w:t>
      </w:r>
      <w:hyperlink r:id="rId7" w:history="1">
        <w:r w:rsidRPr="002E35F1">
          <w:rPr>
            <w:rFonts w:ascii="Times New Roman" w:hAnsi="Times New Roman"/>
          </w:rPr>
          <w:t>proextensao@ifpa.edu.br</w:t>
        </w:r>
      </w:hyperlink>
    </w:p>
    <w:p w:rsidR="00B60307" w:rsidRDefault="00B60307" w:rsidP="002E35F1">
      <w:pPr>
        <w:spacing w:after="0" w:line="240" w:lineRule="auto"/>
        <w:jc w:val="both"/>
        <w:rPr>
          <w:rFonts w:ascii="Times New Roman" w:hAnsi="Times New Roman"/>
        </w:rPr>
      </w:pPr>
    </w:p>
    <w:p w:rsidR="002E35F1" w:rsidRDefault="002E35F1" w:rsidP="002E35F1">
      <w:pPr>
        <w:spacing w:after="0" w:line="240" w:lineRule="auto"/>
        <w:jc w:val="both"/>
        <w:rPr>
          <w:rFonts w:ascii="Times New Roman" w:hAnsi="Times New Roman"/>
        </w:rPr>
      </w:pPr>
    </w:p>
    <w:sectPr w:rsidR="002E35F1" w:rsidSect="00FE70DB">
      <w:headerReference w:type="default" r:id="rId8"/>
      <w:footerReference w:type="default" r:id="rId9"/>
      <w:pgSz w:w="11906" w:h="16838"/>
      <w:pgMar w:top="1417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07" w:rsidRDefault="00B60307" w:rsidP="00831379">
      <w:pPr>
        <w:spacing w:after="0" w:line="240" w:lineRule="auto"/>
      </w:pPr>
      <w:r>
        <w:separator/>
      </w:r>
    </w:p>
  </w:endnote>
  <w:endnote w:type="continuationSeparator" w:id="1">
    <w:p w:rsidR="00B60307" w:rsidRDefault="00B60307" w:rsidP="0083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07" w:rsidRDefault="00BE3573">
    <w:pPr>
      <w:pStyle w:val="Rodap"/>
      <w:jc w:val="right"/>
    </w:pPr>
    <w:fldSimple w:instr=" PAGE   \* MERGEFORMAT ">
      <w:r w:rsidR="00743F81">
        <w:rPr>
          <w:noProof/>
        </w:rPr>
        <w:t>1</w:t>
      </w:r>
    </w:fldSimple>
    <w:r w:rsidR="00B60307">
      <w:t>/2</w:t>
    </w:r>
  </w:p>
  <w:p w:rsidR="00B60307" w:rsidRDefault="00B60307">
    <w:pPr>
      <w:pStyle w:val="Rodap"/>
      <w:jc w:val="right"/>
    </w:pPr>
  </w:p>
  <w:p w:rsidR="00B60307" w:rsidRDefault="00B603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07" w:rsidRDefault="00B60307" w:rsidP="00831379">
      <w:pPr>
        <w:spacing w:after="0" w:line="240" w:lineRule="auto"/>
      </w:pPr>
      <w:r>
        <w:separator/>
      </w:r>
    </w:p>
  </w:footnote>
  <w:footnote w:type="continuationSeparator" w:id="1">
    <w:p w:rsidR="00B60307" w:rsidRDefault="00B60307" w:rsidP="0083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07" w:rsidRPr="00C76B12" w:rsidRDefault="00B60307" w:rsidP="00EA0B64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5189220</wp:posOffset>
          </wp:positionH>
          <wp:positionV relativeFrom="paragraph">
            <wp:posOffset>-66040</wp:posOffset>
          </wp:positionV>
          <wp:extent cx="840740" cy="941070"/>
          <wp:effectExtent l="19050" t="0" r="0" b="0"/>
          <wp:wrapSquare wrapText="bothSides"/>
          <wp:docPr id="3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1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-105742</wp:posOffset>
          </wp:positionH>
          <wp:positionV relativeFrom="paragraph">
            <wp:posOffset>2445</wp:posOffset>
          </wp:positionV>
          <wp:extent cx="696662" cy="675564"/>
          <wp:effectExtent l="19050" t="0" r="8188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62" cy="67556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B12">
      <w:rPr>
        <w:rFonts w:ascii="Times New Roman" w:hAnsi="Times New Roman"/>
        <w:sz w:val="18"/>
        <w:szCs w:val="18"/>
      </w:rPr>
      <w:t>MINISTÉRIO DA EDUCAÇÃO</w:t>
    </w:r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>SERVIÇO PÚBLICO FEDERAL</w:t>
    </w:r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>INSTITUTO FEDERAL DE EDUCAÇÃO, CIÊNCIA E TECNOLOGIA DO PARÁ</w:t>
    </w:r>
  </w:p>
  <w:p w:rsidR="00B60307" w:rsidRPr="00C76B12" w:rsidRDefault="00B60307" w:rsidP="00EA0B64">
    <w:pPr>
      <w:pStyle w:val="Cabealho"/>
      <w:jc w:val="center"/>
      <w:rPr>
        <w:rFonts w:ascii="Times New Roman" w:hAnsi="Times New Roman"/>
        <w:sz w:val="18"/>
        <w:szCs w:val="18"/>
      </w:rPr>
    </w:pPr>
    <w:r w:rsidRPr="00C76B12">
      <w:rPr>
        <w:rFonts w:ascii="Times New Roman" w:hAnsi="Times New Roman"/>
        <w:sz w:val="18"/>
        <w:szCs w:val="18"/>
      </w:rPr>
      <w:t>PRÓ-REITORIA DE EXTENSÃO E RELAÇÕES EXTERNAS</w:t>
    </w:r>
  </w:p>
  <w:p w:rsidR="00B60307" w:rsidRDefault="00B60307" w:rsidP="00B256FE">
    <w:pPr>
      <w:pStyle w:val="Cabealho"/>
    </w:pPr>
  </w:p>
  <w:p w:rsidR="00B60307" w:rsidRDefault="00B603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5D"/>
    <w:multiLevelType w:val="hybridMultilevel"/>
    <w:tmpl w:val="D61A3E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91A"/>
    <w:multiLevelType w:val="hybridMultilevel"/>
    <w:tmpl w:val="AD448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E15B5"/>
    <w:multiLevelType w:val="hybridMultilevel"/>
    <w:tmpl w:val="BC20C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F278D"/>
    <w:multiLevelType w:val="hybridMultilevel"/>
    <w:tmpl w:val="FAF4EC2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C55E78"/>
    <w:multiLevelType w:val="multilevel"/>
    <w:tmpl w:val="C660CB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91D41"/>
    <w:multiLevelType w:val="hybridMultilevel"/>
    <w:tmpl w:val="19B6D30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A46EAC"/>
    <w:multiLevelType w:val="hybridMultilevel"/>
    <w:tmpl w:val="7EACEC9A"/>
    <w:lvl w:ilvl="0" w:tplc="667C390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7A6"/>
    <w:multiLevelType w:val="hybridMultilevel"/>
    <w:tmpl w:val="C4D25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41D88"/>
    <w:multiLevelType w:val="hybridMultilevel"/>
    <w:tmpl w:val="BFA46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F11A6"/>
    <w:multiLevelType w:val="hybridMultilevel"/>
    <w:tmpl w:val="57D05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75B5"/>
    <w:multiLevelType w:val="hybridMultilevel"/>
    <w:tmpl w:val="DFBE22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72E1"/>
    <w:multiLevelType w:val="hybridMultilevel"/>
    <w:tmpl w:val="37285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64082E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80660"/>
    <w:multiLevelType w:val="hybridMultilevel"/>
    <w:tmpl w:val="510A4594"/>
    <w:lvl w:ilvl="0" w:tplc="11320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2B51"/>
    <w:multiLevelType w:val="hybridMultilevel"/>
    <w:tmpl w:val="7D98B0D8"/>
    <w:lvl w:ilvl="0" w:tplc="8AFC4B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7BD"/>
    <w:multiLevelType w:val="hybridMultilevel"/>
    <w:tmpl w:val="676613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6F54"/>
    <w:multiLevelType w:val="multilevel"/>
    <w:tmpl w:val="6D8C1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003DE2"/>
    <w:multiLevelType w:val="hybridMultilevel"/>
    <w:tmpl w:val="7766F4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C2899"/>
    <w:multiLevelType w:val="multilevel"/>
    <w:tmpl w:val="59DE2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38375D1"/>
    <w:multiLevelType w:val="hybridMultilevel"/>
    <w:tmpl w:val="4CBA14B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1B28B7"/>
    <w:multiLevelType w:val="hybridMultilevel"/>
    <w:tmpl w:val="57D4FA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6347"/>
    <w:multiLevelType w:val="hybridMultilevel"/>
    <w:tmpl w:val="ADB47EA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AC3D29"/>
    <w:multiLevelType w:val="hybridMultilevel"/>
    <w:tmpl w:val="20C6D6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E37EA"/>
    <w:multiLevelType w:val="hybridMultilevel"/>
    <w:tmpl w:val="97E82A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2346A"/>
    <w:multiLevelType w:val="hybridMultilevel"/>
    <w:tmpl w:val="2E8E61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F4314"/>
    <w:multiLevelType w:val="hybridMultilevel"/>
    <w:tmpl w:val="55E0C9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B1AA1"/>
    <w:multiLevelType w:val="multilevel"/>
    <w:tmpl w:val="08AE62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FA24B4"/>
    <w:multiLevelType w:val="hybridMultilevel"/>
    <w:tmpl w:val="279CF2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3D88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C688A"/>
    <w:multiLevelType w:val="hybridMultilevel"/>
    <w:tmpl w:val="735860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458F6"/>
    <w:multiLevelType w:val="hybridMultilevel"/>
    <w:tmpl w:val="1E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3065C"/>
    <w:multiLevelType w:val="hybridMultilevel"/>
    <w:tmpl w:val="735860A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54F17"/>
    <w:multiLevelType w:val="hybridMultilevel"/>
    <w:tmpl w:val="FCA84D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927E5"/>
    <w:multiLevelType w:val="hybridMultilevel"/>
    <w:tmpl w:val="AE8C9FE6"/>
    <w:lvl w:ilvl="0" w:tplc="F2BE09F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C53"/>
    <w:multiLevelType w:val="hybridMultilevel"/>
    <w:tmpl w:val="57CE01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A43CB"/>
    <w:multiLevelType w:val="multilevel"/>
    <w:tmpl w:val="00BA59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765664"/>
    <w:multiLevelType w:val="hybridMultilevel"/>
    <w:tmpl w:val="F1C4B0C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FA288A"/>
    <w:multiLevelType w:val="hybridMultilevel"/>
    <w:tmpl w:val="FCA611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77E3C"/>
    <w:multiLevelType w:val="hybridMultilevel"/>
    <w:tmpl w:val="168C62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D361E"/>
    <w:multiLevelType w:val="hybridMultilevel"/>
    <w:tmpl w:val="A40844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A0DD5"/>
    <w:multiLevelType w:val="multilevel"/>
    <w:tmpl w:val="DFC29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7A756E"/>
    <w:multiLevelType w:val="hybridMultilevel"/>
    <w:tmpl w:val="7EACEC9A"/>
    <w:lvl w:ilvl="0" w:tplc="667C390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8"/>
  </w:num>
  <w:num w:numId="4">
    <w:abstractNumId w:val="9"/>
  </w:num>
  <w:num w:numId="5">
    <w:abstractNumId w:val="2"/>
  </w:num>
  <w:num w:numId="6">
    <w:abstractNumId w:val="2"/>
  </w:num>
  <w:num w:numId="7">
    <w:abstractNumId w:val="35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37"/>
  </w:num>
  <w:num w:numId="16">
    <w:abstractNumId w:val="30"/>
  </w:num>
  <w:num w:numId="17">
    <w:abstractNumId w:val="10"/>
  </w:num>
  <w:num w:numId="18">
    <w:abstractNumId w:val="21"/>
  </w:num>
  <w:num w:numId="19">
    <w:abstractNumId w:val="0"/>
  </w:num>
  <w:num w:numId="20">
    <w:abstractNumId w:val="19"/>
  </w:num>
  <w:num w:numId="21">
    <w:abstractNumId w:val="14"/>
  </w:num>
  <w:num w:numId="22">
    <w:abstractNumId w:val="26"/>
  </w:num>
  <w:num w:numId="23">
    <w:abstractNumId w:val="23"/>
  </w:num>
  <w:num w:numId="24">
    <w:abstractNumId w:val="16"/>
  </w:num>
  <w:num w:numId="25">
    <w:abstractNumId w:val="28"/>
  </w:num>
  <w:num w:numId="26">
    <w:abstractNumId w:val="31"/>
  </w:num>
  <w:num w:numId="27">
    <w:abstractNumId w:val="3"/>
  </w:num>
  <w:num w:numId="28">
    <w:abstractNumId w:val="5"/>
  </w:num>
  <w:num w:numId="29">
    <w:abstractNumId w:val="36"/>
  </w:num>
  <w:num w:numId="30">
    <w:abstractNumId w:val="6"/>
  </w:num>
  <w:num w:numId="31">
    <w:abstractNumId w:val="39"/>
  </w:num>
  <w:num w:numId="32">
    <w:abstractNumId w:val="22"/>
  </w:num>
  <w:num w:numId="33">
    <w:abstractNumId w:val="7"/>
  </w:num>
  <w:num w:numId="34">
    <w:abstractNumId w:val="32"/>
  </w:num>
  <w:num w:numId="35">
    <w:abstractNumId w:val="29"/>
  </w:num>
  <w:num w:numId="36">
    <w:abstractNumId w:val="27"/>
  </w:num>
  <w:num w:numId="37">
    <w:abstractNumId w:val="17"/>
  </w:num>
  <w:num w:numId="38">
    <w:abstractNumId w:val="25"/>
  </w:num>
  <w:num w:numId="39">
    <w:abstractNumId w:val="24"/>
  </w:num>
  <w:num w:numId="40">
    <w:abstractNumId w:val="1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800B76"/>
    <w:rsid w:val="00001180"/>
    <w:rsid w:val="00007875"/>
    <w:rsid w:val="00010262"/>
    <w:rsid w:val="00013546"/>
    <w:rsid w:val="0001387A"/>
    <w:rsid w:val="00020E36"/>
    <w:rsid w:val="00021119"/>
    <w:rsid w:val="00022221"/>
    <w:rsid w:val="00023FDA"/>
    <w:rsid w:val="00025922"/>
    <w:rsid w:val="000275CE"/>
    <w:rsid w:val="00032D0F"/>
    <w:rsid w:val="00036159"/>
    <w:rsid w:val="000560C2"/>
    <w:rsid w:val="00056602"/>
    <w:rsid w:val="00060E8C"/>
    <w:rsid w:val="000678C6"/>
    <w:rsid w:val="000729EC"/>
    <w:rsid w:val="000956BA"/>
    <w:rsid w:val="00096F3B"/>
    <w:rsid w:val="000A62D7"/>
    <w:rsid w:val="000C0856"/>
    <w:rsid w:val="000C38BD"/>
    <w:rsid w:val="000D20AC"/>
    <w:rsid w:val="000D28F2"/>
    <w:rsid w:val="000E0EBF"/>
    <w:rsid w:val="000E1DB8"/>
    <w:rsid w:val="000E22F8"/>
    <w:rsid w:val="000E55FD"/>
    <w:rsid w:val="000E782F"/>
    <w:rsid w:val="000F0B5C"/>
    <w:rsid w:val="000F4C38"/>
    <w:rsid w:val="001066B2"/>
    <w:rsid w:val="00110D11"/>
    <w:rsid w:val="001125C3"/>
    <w:rsid w:val="001162BB"/>
    <w:rsid w:val="00116A4C"/>
    <w:rsid w:val="00117DEF"/>
    <w:rsid w:val="00122C23"/>
    <w:rsid w:val="0013221D"/>
    <w:rsid w:val="0013401C"/>
    <w:rsid w:val="00140E0A"/>
    <w:rsid w:val="001438A8"/>
    <w:rsid w:val="00146530"/>
    <w:rsid w:val="00161134"/>
    <w:rsid w:val="00161A8F"/>
    <w:rsid w:val="001700F7"/>
    <w:rsid w:val="00172A22"/>
    <w:rsid w:val="001742D4"/>
    <w:rsid w:val="0017475A"/>
    <w:rsid w:val="00190BCB"/>
    <w:rsid w:val="0019168C"/>
    <w:rsid w:val="00194AAA"/>
    <w:rsid w:val="001970E4"/>
    <w:rsid w:val="001A158E"/>
    <w:rsid w:val="001A49F5"/>
    <w:rsid w:val="001A61DB"/>
    <w:rsid w:val="001D18F1"/>
    <w:rsid w:val="001F5907"/>
    <w:rsid w:val="00206BC6"/>
    <w:rsid w:val="00207331"/>
    <w:rsid w:val="00211B23"/>
    <w:rsid w:val="00221EA8"/>
    <w:rsid w:val="0022272D"/>
    <w:rsid w:val="00222E48"/>
    <w:rsid w:val="002455FE"/>
    <w:rsid w:val="00252316"/>
    <w:rsid w:val="00256EB3"/>
    <w:rsid w:val="00261974"/>
    <w:rsid w:val="00263311"/>
    <w:rsid w:val="00264325"/>
    <w:rsid w:val="0026604A"/>
    <w:rsid w:val="00267918"/>
    <w:rsid w:val="00270B18"/>
    <w:rsid w:val="002814AF"/>
    <w:rsid w:val="0028289D"/>
    <w:rsid w:val="002875E0"/>
    <w:rsid w:val="00293D98"/>
    <w:rsid w:val="00295844"/>
    <w:rsid w:val="002A7381"/>
    <w:rsid w:val="002B14F5"/>
    <w:rsid w:val="002B1BCD"/>
    <w:rsid w:val="002B533A"/>
    <w:rsid w:val="002D06FD"/>
    <w:rsid w:val="002D7772"/>
    <w:rsid w:val="002E35F1"/>
    <w:rsid w:val="002E45CB"/>
    <w:rsid w:val="002E6C66"/>
    <w:rsid w:val="002F1E72"/>
    <w:rsid w:val="002F3258"/>
    <w:rsid w:val="002F619D"/>
    <w:rsid w:val="0030526D"/>
    <w:rsid w:val="00307C59"/>
    <w:rsid w:val="003129D5"/>
    <w:rsid w:val="00320748"/>
    <w:rsid w:val="00321D67"/>
    <w:rsid w:val="0033011F"/>
    <w:rsid w:val="00331C9E"/>
    <w:rsid w:val="003414AA"/>
    <w:rsid w:val="00347E98"/>
    <w:rsid w:val="00353DA3"/>
    <w:rsid w:val="00360E7E"/>
    <w:rsid w:val="00365705"/>
    <w:rsid w:val="00365A6A"/>
    <w:rsid w:val="00366D1A"/>
    <w:rsid w:val="0038287F"/>
    <w:rsid w:val="00386B6B"/>
    <w:rsid w:val="003902BA"/>
    <w:rsid w:val="00392C56"/>
    <w:rsid w:val="00393465"/>
    <w:rsid w:val="003966B2"/>
    <w:rsid w:val="00396772"/>
    <w:rsid w:val="0039774A"/>
    <w:rsid w:val="003B44BE"/>
    <w:rsid w:val="003B452D"/>
    <w:rsid w:val="003B7765"/>
    <w:rsid w:val="003B7BFC"/>
    <w:rsid w:val="003C4BA5"/>
    <w:rsid w:val="003C768E"/>
    <w:rsid w:val="003D29BB"/>
    <w:rsid w:val="003D4BED"/>
    <w:rsid w:val="003D60C2"/>
    <w:rsid w:val="004042C4"/>
    <w:rsid w:val="00404F86"/>
    <w:rsid w:val="00405D62"/>
    <w:rsid w:val="0040711E"/>
    <w:rsid w:val="00412026"/>
    <w:rsid w:val="0041304C"/>
    <w:rsid w:val="004156DF"/>
    <w:rsid w:val="0041754B"/>
    <w:rsid w:val="004406C9"/>
    <w:rsid w:val="00450560"/>
    <w:rsid w:val="00455520"/>
    <w:rsid w:val="00463430"/>
    <w:rsid w:val="004637FB"/>
    <w:rsid w:val="004724F9"/>
    <w:rsid w:val="00474D48"/>
    <w:rsid w:val="00490904"/>
    <w:rsid w:val="004950BD"/>
    <w:rsid w:val="004C0411"/>
    <w:rsid w:val="004C2FA3"/>
    <w:rsid w:val="004D07DA"/>
    <w:rsid w:val="004E5C9F"/>
    <w:rsid w:val="004F69B3"/>
    <w:rsid w:val="004F6F96"/>
    <w:rsid w:val="005001C9"/>
    <w:rsid w:val="005029DD"/>
    <w:rsid w:val="00515E19"/>
    <w:rsid w:val="005200A3"/>
    <w:rsid w:val="0052067E"/>
    <w:rsid w:val="00523116"/>
    <w:rsid w:val="0052584F"/>
    <w:rsid w:val="005400F1"/>
    <w:rsid w:val="005421EF"/>
    <w:rsid w:val="0054670B"/>
    <w:rsid w:val="0055779D"/>
    <w:rsid w:val="00557983"/>
    <w:rsid w:val="00561194"/>
    <w:rsid w:val="00561E41"/>
    <w:rsid w:val="005806F7"/>
    <w:rsid w:val="00586987"/>
    <w:rsid w:val="00596891"/>
    <w:rsid w:val="005B0F3E"/>
    <w:rsid w:val="005B4AD4"/>
    <w:rsid w:val="005B4F4D"/>
    <w:rsid w:val="005C57DD"/>
    <w:rsid w:val="005E58B9"/>
    <w:rsid w:val="005E79B4"/>
    <w:rsid w:val="00603C05"/>
    <w:rsid w:val="00604313"/>
    <w:rsid w:val="00610511"/>
    <w:rsid w:val="006224CA"/>
    <w:rsid w:val="00626961"/>
    <w:rsid w:val="00633809"/>
    <w:rsid w:val="00633FC9"/>
    <w:rsid w:val="00647D6F"/>
    <w:rsid w:val="006507F3"/>
    <w:rsid w:val="00651680"/>
    <w:rsid w:val="00651E1C"/>
    <w:rsid w:val="00664860"/>
    <w:rsid w:val="0066487D"/>
    <w:rsid w:val="00664CEF"/>
    <w:rsid w:val="00666895"/>
    <w:rsid w:val="006861D9"/>
    <w:rsid w:val="00686563"/>
    <w:rsid w:val="00692C20"/>
    <w:rsid w:val="006A1552"/>
    <w:rsid w:val="006A58CE"/>
    <w:rsid w:val="006A5AC1"/>
    <w:rsid w:val="006A6877"/>
    <w:rsid w:val="006B7A4F"/>
    <w:rsid w:val="006C0405"/>
    <w:rsid w:val="006C0DC2"/>
    <w:rsid w:val="006C1495"/>
    <w:rsid w:val="006D13A8"/>
    <w:rsid w:val="006D191B"/>
    <w:rsid w:val="006D35B5"/>
    <w:rsid w:val="006E26B3"/>
    <w:rsid w:val="006F0EA9"/>
    <w:rsid w:val="006F3058"/>
    <w:rsid w:val="007025B1"/>
    <w:rsid w:val="00707E74"/>
    <w:rsid w:val="007178C8"/>
    <w:rsid w:val="00720C33"/>
    <w:rsid w:val="00722AE9"/>
    <w:rsid w:val="00727679"/>
    <w:rsid w:val="00733EEF"/>
    <w:rsid w:val="00734F2F"/>
    <w:rsid w:val="007361AF"/>
    <w:rsid w:val="0074222A"/>
    <w:rsid w:val="00743F81"/>
    <w:rsid w:val="00747332"/>
    <w:rsid w:val="00756B4E"/>
    <w:rsid w:val="0076020D"/>
    <w:rsid w:val="00764046"/>
    <w:rsid w:val="007672E4"/>
    <w:rsid w:val="007739B2"/>
    <w:rsid w:val="00783D8E"/>
    <w:rsid w:val="007870B7"/>
    <w:rsid w:val="00790546"/>
    <w:rsid w:val="00791F11"/>
    <w:rsid w:val="00794E7F"/>
    <w:rsid w:val="007A1A82"/>
    <w:rsid w:val="007A4D8E"/>
    <w:rsid w:val="007A67D8"/>
    <w:rsid w:val="007B1734"/>
    <w:rsid w:val="007B1DE6"/>
    <w:rsid w:val="007B25DC"/>
    <w:rsid w:val="007C1C26"/>
    <w:rsid w:val="007C40E4"/>
    <w:rsid w:val="007C4170"/>
    <w:rsid w:val="007C506D"/>
    <w:rsid w:val="007D3F7B"/>
    <w:rsid w:val="007D4471"/>
    <w:rsid w:val="007E358D"/>
    <w:rsid w:val="007F4608"/>
    <w:rsid w:val="00800B76"/>
    <w:rsid w:val="00802DA8"/>
    <w:rsid w:val="00805DD8"/>
    <w:rsid w:val="00820E7B"/>
    <w:rsid w:val="008216B0"/>
    <w:rsid w:val="00825878"/>
    <w:rsid w:val="0082674F"/>
    <w:rsid w:val="00831379"/>
    <w:rsid w:val="0083294C"/>
    <w:rsid w:val="00832F19"/>
    <w:rsid w:val="00836C55"/>
    <w:rsid w:val="0084007D"/>
    <w:rsid w:val="008417D2"/>
    <w:rsid w:val="00845AA6"/>
    <w:rsid w:val="008462DC"/>
    <w:rsid w:val="008649F8"/>
    <w:rsid w:val="00866D69"/>
    <w:rsid w:val="00870711"/>
    <w:rsid w:val="00872BF8"/>
    <w:rsid w:val="00885198"/>
    <w:rsid w:val="00887FC2"/>
    <w:rsid w:val="008A56EE"/>
    <w:rsid w:val="008A6503"/>
    <w:rsid w:val="008C369E"/>
    <w:rsid w:val="008C4DBA"/>
    <w:rsid w:val="008D1C99"/>
    <w:rsid w:val="008F1F1D"/>
    <w:rsid w:val="008F2C8D"/>
    <w:rsid w:val="008F3A48"/>
    <w:rsid w:val="008F53BE"/>
    <w:rsid w:val="008F5426"/>
    <w:rsid w:val="00900867"/>
    <w:rsid w:val="00903218"/>
    <w:rsid w:val="00922EA7"/>
    <w:rsid w:val="00926837"/>
    <w:rsid w:val="00931FDA"/>
    <w:rsid w:val="009444C2"/>
    <w:rsid w:val="009522CB"/>
    <w:rsid w:val="00952EE5"/>
    <w:rsid w:val="00954737"/>
    <w:rsid w:val="00961D06"/>
    <w:rsid w:val="00970A37"/>
    <w:rsid w:val="009760A2"/>
    <w:rsid w:val="00980869"/>
    <w:rsid w:val="0098773B"/>
    <w:rsid w:val="00987A78"/>
    <w:rsid w:val="00990758"/>
    <w:rsid w:val="009935F3"/>
    <w:rsid w:val="00997168"/>
    <w:rsid w:val="009A18C6"/>
    <w:rsid w:val="009A772F"/>
    <w:rsid w:val="009B22CE"/>
    <w:rsid w:val="009C1AAF"/>
    <w:rsid w:val="009C36D6"/>
    <w:rsid w:val="009C5496"/>
    <w:rsid w:val="009D3652"/>
    <w:rsid w:val="009D4D57"/>
    <w:rsid w:val="009E15E7"/>
    <w:rsid w:val="009E19E0"/>
    <w:rsid w:val="009E3403"/>
    <w:rsid w:val="009E5ACA"/>
    <w:rsid w:val="009F0A90"/>
    <w:rsid w:val="009F2991"/>
    <w:rsid w:val="00A00D04"/>
    <w:rsid w:val="00A05C7C"/>
    <w:rsid w:val="00A114B4"/>
    <w:rsid w:val="00A11BA3"/>
    <w:rsid w:val="00A12FC6"/>
    <w:rsid w:val="00A176A4"/>
    <w:rsid w:val="00A214DB"/>
    <w:rsid w:val="00A22F88"/>
    <w:rsid w:val="00A43676"/>
    <w:rsid w:val="00A52572"/>
    <w:rsid w:val="00A52A76"/>
    <w:rsid w:val="00A62218"/>
    <w:rsid w:val="00A64CEE"/>
    <w:rsid w:val="00A77C08"/>
    <w:rsid w:val="00A832A7"/>
    <w:rsid w:val="00A84A38"/>
    <w:rsid w:val="00A90E6B"/>
    <w:rsid w:val="00A915F5"/>
    <w:rsid w:val="00A93BEE"/>
    <w:rsid w:val="00A97044"/>
    <w:rsid w:val="00AA4AD1"/>
    <w:rsid w:val="00AB3E85"/>
    <w:rsid w:val="00AB5562"/>
    <w:rsid w:val="00AB7214"/>
    <w:rsid w:val="00AB72F7"/>
    <w:rsid w:val="00AB7936"/>
    <w:rsid w:val="00AC26D1"/>
    <w:rsid w:val="00AC464A"/>
    <w:rsid w:val="00AE183D"/>
    <w:rsid w:val="00AE72C2"/>
    <w:rsid w:val="00B01FB6"/>
    <w:rsid w:val="00B05CF6"/>
    <w:rsid w:val="00B07DE8"/>
    <w:rsid w:val="00B1094D"/>
    <w:rsid w:val="00B12466"/>
    <w:rsid w:val="00B128F3"/>
    <w:rsid w:val="00B16FD4"/>
    <w:rsid w:val="00B218B0"/>
    <w:rsid w:val="00B2239F"/>
    <w:rsid w:val="00B24260"/>
    <w:rsid w:val="00B24432"/>
    <w:rsid w:val="00B256FE"/>
    <w:rsid w:val="00B311CA"/>
    <w:rsid w:val="00B474BD"/>
    <w:rsid w:val="00B535D4"/>
    <w:rsid w:val="00B55F9A"/>
    <w:rsid w:val="00B60307"/>
    <w:rsid w:val="00B64D5A"/>
    <w:rsid w:val="00B7118A"/>
    <w:rsid w:val="00B75D77"/>
    <w:rsid w:val="00B765C1"/>
    <w:rsid w:val="00B82D6E"/>
    <w:rsid w:val="00B91FC9"/>
    <w:rsid w:val="00B96C1A"/>
    <w:rsid w:val="00BA152A"/>
    <w:rsid w:val="00BA550E"/>
    <w:rsid w:val="00BB21F8"/>
    <w:rsid w:val="00BB360A"/>
    <w:rsid w:val="00BB7CB3"/>
    <w:rsid w:val="00BC21E9"/>
    <w:rsid w:val="00BC336A"/>
    <w:rsid w:val="00BC607E"/>
    <w:rsid w:val="00BD1D2A"/>
    <w:rsid w:val="00BD2A5A"/>
    <w:rsid w:val="00BD3B1A"/>
    <w:rsid w:val="00BE3573"/>
    <w:rsid w:val="00C01E7F"/>
    <w:rsid w:val="00C11FE1"/>
    <w:rsid w:val="00C12BDB"/>
    <w:rsid w:val="00C211B6"/>
    <w:rsid w:val="00C27E4A"/>
    <w:rsid w:val="00C30FEA"/>
    <w:rsid w:val="00C36571"/>
    <w:rsid w:val="00C51302"/>
    <w:rsid w:val="00C54F86"/>
    <w:rsid w:val="00C6794F"/>
    <w:rsid w:val="00C7213D"/>
    <w:rsid w:val="00C83E6B"/>
    <w:rsid w:val="00C8466A"/>
    <w:rsid w:val="00C8488A"/>
    <w:rsid w:val="00C90B98"/>
    <w:rsid w:val="00C925AB"/>
    <w:rsid w:val="00C9632A"/>
    <w:rsid w:val="00CA5F32"/>
    <w:rsid w:val="00CB319F"/>
    <w:rsid w:val="00CC185F"/>
    <w:rsid w:val="00CC27AE"/>
    <w:rsid w:val="00CC3755"/>
    <w:rsid w:val="00CC487D"/>
    <w:rsid w:val="00CD197F"/>
    <w:rsid w:val="00CD4B21"/>
    <w:rsid w:val="00CE35B2"/>
    <w:rsid w:val="00CE539B"/>
    <w:rsid w:val="00CE6B94"/>
    <w:rsid w:val="00CF689A"/>
    <w:rsid w:val="00CF731A"/>
    <w:rsid w:val="00D121DB"/>
    <w:rsid w:val="00D1396D"/>
    <w:rsid w:val="00D15645"/>
    <w:rsid w:val="00D2626A"/>
    <w:rsid w:val="00D3166E"/>
    <w:rsid w:val="00D3315A"/>
    <w:rsid w:val="00D33AE1"/>
    <w:rsid w:val="00D50139"/>
    <w:rsid w:val="00D504AC"/>
    <w:rsid w:val="00D52216"/>
    <w:rsid w:val="00D621E5"/>
    <w:rsid w:val="00D76901"/>
    <w:rsid w:val="00D847C2"/>
    <w:rsid w:val="00D91B74"/>
    <w:rsid w:val="00D91FA2"/>
    <w:rsid w:val="00D925A0"/>
    <w:rsid w:val="00DB154C"/>
    <w:rsid w:val="00DC4793"/>
    <w:rsid w:val="00DC4EAF"/>
    <w:rsid w:val="00DE3AE6"/>
    <w:rsid w:val="00DE5BB7"/>
    <w:rsid w:val="00DE6731"/>
    <w:rsid w:val="00DF2F23"/>
    <w:rsid w:val="00E07081"/>
    <w:rsid w:val="00E119D9"/>
    <w:rsid w:val="00E12F5E"/>
    <w:rsid w:val="00E1349D"/>
    <w:rsid w:val="00E14F26"/>
    <w:rsid w:val="00E3340F"/>
    <w:rsid w:val="00E33563"/>
    <w:rsid w:val="00E35A7F"/>
    <w:rsid w:val="00E3614E"/>
    <w:rsid w:val="00E40D08"/>
    <w:rsid w:val="00E5321B"/>
    <w:rsid w:val="00E55F67"/>
    <w:rsid w:val="00E64BD9"/>
    <w:rsid w:val="00E65886"/>
    <w:rsid w:val="00E6678F"/>
    <w:rsid w:val="00E7251E"/>
    <w:rsid w:val="00E74472"/>
    <w:rsid w:val="00E7544F"/>
    <w:rsid w:val="00E936A9"/>
    <w:rsid w:val="00E9450D"/>
    <w:rsid w:val="00EA0B64"/>
    <w:rsid w:val="00EA0E16"/>
    <w:rsid w:val="00EA2329"/>
    <w:rsid w:val="00EA565C"/>
    <w:rsid w:val="00EB03C6"/>
    <w:rsid w:val="00EC17A1"/>
    <w:rsid w:val="00EC7545"/>
    <w:rsid w:val="00ED04AB"/>
    <w:rsid w:val="00ED60BE"/>
    <w:rsid w:val="00EE0099"/>
    <w:rsid w:val="00EE042B"/>
    <w:rsid w:val="00EE22D1"/>
    <w:rsid w:val="00EE6924"/>
    <w:rsid w:val="00F06CB5"/>
    <w:rsid w:val="00F07F0A"/>
    <w:rsid w:val="00F106E3"/>
    <w:rsid w:val="00F1183B"/>
    <w:rsid w:val="00F14BF3"/>
    <w:rsid w:val="00F30C24"/>
    <w:rsid w:val="00F31FE0"/>
    <w:rsid w:val="00F35C97"/>
    <w:rsid w:val="00F372C4"/>
    <w:rsid w:val="00F378E1"/>
    <w:rsid w:val="00F41823"/>
    <w:rsid w:val="00F61A20"/>
    <w:rsid w:val="00F6218E"/>
    <w:rsid w:val="00F8273B"/>
    <w:rsid w:val="00F9192C"/>
    <w:rsid w:val="00F934DD"/>
    <w:rsid w:val="00FA22DA"/>
    <w:rsid w:val="00FA2C5D"/>
    <w:rsid w:val="00FA30F7"/>
    <w:rsid w:val="00FA435D"/>
    <w:rsid w:val="00FA7175"/>
    <w:rsid w:val="00FB02AA"/>
    <w:rsid w:val="00FB2917"/>
    <w:rsid w:val="00FB60FB"/>
    <w:rsid w:val="00FC5591"/>
    <w:rsid w:val="00FC6080"/>
    <w:rsid w:val="00FC6439"/>
    <w:rsid w:val="00FC6E60"/>
    <w:rsid w:val="00FC7B22"/>
    <w:rsid w:val="00FD0AF5"/>
    <w:rsid w:val="00FE4BBD"/>
    <w:rsid w:val="00FE584A"/>
    <w:rsid w:val="00FE70DB"/>
    <w:rsid w:val="00FE7FB8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00B76"/>
    <w:rPr>
      <w:b/>
      <w:bCs/>
    </w:rPr>
  </w:style>
  <w:style w:type="character" w:customStyle="1" w:styleId="apple-converted-space">
    <w:name w:val="apple-converted-space"/>
    <w:basedOn w:val="Fontepargpadro"/>
    <w:rsid w:val="00800B76"/>
  </w:style>
  <w:style w:type="paragraph" w:styleId="PargrafodaLista">
    <w:name w:val="List Paragraph"/>
    <w:basedOn w:val="Normal"/>
    <w:uiPriority w:val="34"/>
    <w:qFormat/>
    <w:rsid w:val="007A4D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3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379"/>
  </w:style>
  <w:style w:type="paragraph" w:styleId="Rodap">
    <w:name w:val="footer"/>
    <w:basedOn w:val="Normal"/>
    <w:link w:val="RodapChar"/>
    <w:uiPriority w:val="99"/>
    <w:unhideWhenUsed/>
    <w:rsid w:val="00831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379"/>
  </w:style>
  <w:style w:type="paragraph" w:styleId="Textodebalo">
    <w:name w:val="Balloon Text"/>
    <w:basedOn w:val="Normal"/>
    <w:link w:val="TextodebaloChar"/>
    <w:uiPriority w:val="99"/>
    <w:semiHidden/>
    <w:unhideWhenUsed/>
    <w:rsid w:val="008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3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2C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C7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9716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x.proex@ifp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fernanda.lima</dc:creator>
  <cp:lastModifiedBy>fabricio.medeiros</cp:lastModifiedBy>
  <cp:revision>10</cp:revision>
  <cp:lastPrinted>2016-05-05T18:21:00Z</cp:lastPrinted>
  <dcterms:created xsi:type="dcterms:W3CDTF">2017-07-31T15:06:00Z</dcterms:created>
  <dcterms:modified xsi:type="dcterms:W3CDTF">2017-11-01T20:00:00Z</dcterms:modified>
</cp:coreProperties>
</file>